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A4" w:rsidRPr="00C641D4" w:rsidRDefault="002443A4" w:rsidP="00C641D4">
      <w:pPr>
        <w:spacing w:after="280" w:line="42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Goniądz: Utrzymanie i odtworzenie ekosystemów nieleśnych poprzez wykonanie zabiegów usunięcia nalotu i podrostu roślinności drzewiastej i krzewów oraz usunięcie przypowierzchniowej biomasy wraz ze zbiorem i wywozem biomasy</w:t>
      </w:r>
      <w:r w:rsidRPr="00C641D4">
        <w:rPr>
          <w:rFonts w:ascii="Book Antiqua" w:eastAsia="Times New Roman" w:hAnsi="Book Antiqua" w:cs="Arial CE"/>
          <w:color w:val="000000"/>
          <w:lang w:eastAsia="pl-PL"/>
        </w:rPr>
        <w:br/>
      </w:r>
      <w:r w:rsidRPr="00C641D4">
        <w:rPr>
          <w:rFonts w:ascii="Book Antiqua" w:eastAsia="Times New Roman" w:hAnsi="Book Antiqua" w:cs="Arial CE"/>
          <w:b/>
          <w:bCs/>
          <w:color w:val="000000"/>
          <w:lang w:eastAsia="pl-PL"/>
        </w:rPr>
        <w:t>Numer ogłoszenia: 340416 - 2015; data zamieszczenia: 11.12.2015</w:t>
      </w:r>
      <w:r w:rsidRPr="00C641D4">
        <w:rPr>
          <w:rFonts w:ascii="Book Antiqua" w:eastAsia="Times New Roman" w:hAnsi="Book Antiqua" w:cs="Arial CE"/>
          <w:color w:val="000000"/>
          <w:lang w:eastAsia="pl-PL"/>
        </w:rPr>
        <w:br/>
        <w:t>OGŁOSZENIE O ZAMÓWIENIU - usługi</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Zamieszczanie ogłoszenia:</w:t>
      </w:r>
      <w:r w:rsidRPr="00C641D4">
        <w:rPr>
          <w:rFonts w:ascii="Book Antiqua" w:eastAsia="Times New Roman" w:hAnsi="Book Antiqua" w:cs="Arial CE"/>
          <w:color w:val="000000"/>
          <w:lang w:eastAsia="pl-PL"/>
        </w:rPr>
        <w:t> obowiązkowe.</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7"/>
        <w:gridCol w:w="5346"/>
      </w:tblGrid>
      <w:tr w:rsidR="002443A4" w:rsidRPr="00C641D4" w:rsidTr="002443A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b/>
                <w:bCs/>
                <w:color w:val="000000"/>
                <w:lang w:eastAsia="pl-PL"/>
              </w:rPr>
              <w:t>V</w:t>
            </w:r>
          </w:p>
        </w:tc>
        <w:tc>
          <w:tcPr>
            <w:tcW w:w="0" w:type="auto"/>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color w:val="000000"/>
                <w:lang w:eastAsia="pl-PL"/>
              </w:rPr>
              <w:t>zamówienia publicznego</w:t>
            </w:r>
          </w:p>
        </w:tc>
      </w:tr>
      <w:tr w:rsidR="002443A4" w:rsidRPr="00C641D4" w:rsidTr="002443A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p>
        </w:tc>
        <w:tc>
          <w:tcPr>
            <w:tcW w:w="0" w:type="auto"/>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color w:val="000000"/>
                <w:lang w:eastAsia="pl-PL"/>
              </w:rPr>
              <w:t>zawarcia umowy ramowej</w:t>
            </w:r>
          </w:p>
        </w:tc>
      </w:tr>
      <w:tr w:rsidR="002443A4" w:rsidRPr="00C641D4" w:rsidTr="002443A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p>
        </w:tc>
        <w:tc>
          <w:tcPr>
            <w:tcW w:w="0" w:type="auto"/>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color w:val="000000"/>
                <w:lang w:eastAsia="pl-PL"/>
              </w:rPr>
              <w:t>ustanowienia dynamicznego systemu zakupów (DSZ)</w:t>
            </w:r>
          </w:p>
        </w:tc>
      </w:tr>
    </w:tbl>
    <w:p w:rsidR="002443A4" w:rsidRPr="00C641D4" w:rsidRDefault="002443A4" w:rsidP="00C641D4">
      <w:pPr>
        <w:spacing w:before="375" w:after="225" w:line="400" w:lineRule="atLeast"/>
        <w:jc w:val="both"/>
        <w:rPr>
          <w:rFonts w:ascii="Book Antiqua" w:eastAsia="Times New Roman" w:hAnsi="Book Antiqua" w:cs="Arial CE"/>
          <w:b/>
          <w:bCs/>
          <w:color w:val="000000"/>
          <w:u w:val="single"/>
          <w:lang w:eastAsia="pl-PL"/>
        </w:rPr>
      </w:pPr>
      <w:r w:rsidRPr="00C641D4">
        <w:rPr>
          <w:rFonts w:ascii="Book Antiqua" w:eastAsia="Times New Roman" w:hAnsi="Book Antiqua" w:cs="Arial CE"/>
          <w:b/>
          <w:bCs/>
          <w:color w:val="000000"/>
          <w:u w:val="single"/>
          <w:lang w:eastAsia="pl-PL"/>
        </w:rPr>
        <w:t>SEKCJA I: ZAMAWIAJĄCY</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 1) NAZWA I ADRES:</w:t>
      </w:r>
      <w:r w:rsidRPr="00C641D4">
        <w:rPr>
          <w:rFonts w:ascii="Book Antiqua" w:eastAsia="Times New Roman" w:hAnsi="Book Antiqua" w:cs="Arial CE"/>
          <w:color w:val="000000"/>
          <w:lang w:eastAsia="pl-PL"/>
        </w:rPr>
        <w:t> Biebrzański Park Narodowy , Osowiec-Twierdza 8, 19-110 Goniądz, woj. podlaskie, tel. 85 738 0620, faks 85 738 30 21.</w:t>
      </w:r>
    </w:p>
    <w:p w:rsidR="002443A4" w:rsidRPr="00C641D4" w:rsidRDefault="002443A4" w:rsidP="00C641D4">
      <w:pPr>
        <w:numPr>
          <w:ilvl w:val="0"/>
          <w:numId w:val="1"/>
        </w:numPr>
        <w:spacing w:before="100" w:beforeAutospacing="1" w:after="100" w:afterAutospacing="1" w:line="400" w:lineRule="atLeast"/>
        <w:ind w:left="450"/>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Adres strony internetowej, pod którym dostępne są informacje dotyczące dynamicznego systemu zakupów:</w:t>
      </w:r>
      <w:r w:rsidRPr="00C641D4">
        <w:rPr>
          <w:rFonts w:ascii="Book Antiqua" w:eastAsia="Times New Roman" w:hAnsi="Book Antiqua" w:cs="Arial CE"/>
          <w:color w:val="000000"/>
          <w:lang w:eastAsia="pl-PL"/>
        </w:rPr>
        <w:t> www.biebrza.org.pl</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 2) RODZAJ ZAMAWIAJĄCEGO:</w:t>
      </w:r>
      <w:r w:rsidRPr="00C641D4">
        <w:rPr>
          <w:rFonts w:ascii="Book Antiqua" w:eastAsia="Times New Roman" w:hAnsi="Book Antiqua" w:cs="Arial CE"/>
          <w:color w:val="000000"/>
          <w:lang w:eastAsia="pl-PL"/>
        </w:rPr>
        <w:t> Inny: Państwowa osoba prawna.</w:t>
      </w:r>
    </w:p>
    <w:p w:rsidR="002443A4" w:rsidRPr="00C641D4" w:rsidRDefault="002443A4" w:rsidP="00C641D4">
      <w:pPr>
        <w:spacing w:before="375" w:after="225" w:line="400" w:lineRule="atLeast"/>
        <w:jc w:val="both"/>
        <w:rPr>
          <w:rFonts w:ascii="Book Antiqua" w:eastAsia="Times New Roman" w:hAnsi="Book Antiqua" w:cs="Arial CE"/>
          <w:b/>
          <w:bCs/>
          <w:color w:val="000000"/>
          <w:u w:val="single"/>
          <w:lang w:eastAsia="pl-PL"/>
        </w:rPr>
      </w:pPr>
      <w:r w:rsidRPr="00C641D4">
        <w:rPr>
          <w:rFonts w:ascii="Book Antiqua" w:eastAsia="Times New Roman" w:hAnsi="Book Antiqua" w:cs="Arial CE"/>
          <w:b/>
          <w:bCs/>
          <w:color w:val="000000"/>
          <w:u w:val="single"/>
          <w:lang w:eastAsia="pl-PL"/>
        </w:rPr>
        <w:t>SEKCJA II: PRZEDMIOT ZAMÓWIENIA</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 OKREŚLENIE PRZEDMIOTU ZAMÓWIENIA</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II.1.1) Nazwa nadana zamówieniu przez zamawiającego:</w:t>
      </w:r>
      <w:r w:rsidRPr="00C641D4">
        <w:rPr>
          <w:rFonts w:ascii="Book Antiqua" w:eastAsia="Times New Roman" w:hAnsi="Book Antiqua" w:cs="Arial CE"/>
          <w:color w:val="000000"/>
          <w:lang w:eastAsia="pl-PL"/>
        </w:rPr>
        <w:t> Utrzymanie i odtworzenie ekosystemów nieleśnych poprzez wykonanie zabiegów usunięcia nalotu i podrostu roślinności drzewiastej i krzewów oraz usunięcie przypowierzchniowej biomasy wraz ze zbiorem i wywozem biomasy.</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II.1.2) Rodzaj zamówienia:</w:t>
      </w:r>
      <w:r w:rsidRPr="00C641D4">
        <w:rPr>
          <w:rFonts w:ascii="Book Antiqua" w:eastAsia="Times New Roman" w:hAnsi="Book Antiqua" w:cs="Arial CE"/>
          <w:color w:val="000000"/>
          <w:lang w:eastAsia="pl-PL"/>
        </w:rPr>
        <w:t> usługi.</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II.1.4) Określenie przedmiotu oraz wielkości lub zakresu zamówienia:</w:t>
      </w:r>
      <w:r w:rsidRPr="00C641D4">
        <w:rPr>
          <w:rFonts w:ascii="Book Antiqua" w:eastAsia="Times New Roman" w:hAnsi="Book Antiqua" w:cs="Arial CE"/>
          <w:color w:val="000000"/>
          <w:lang w:eastAsia="pl-PL"/>
        </w:rPr>
        <w:t> 1. Przedmiotem zamówienia jest wykonanie zabiegów ochrony czynnej na nieruchomościach gruntowych będących własnością Biebrzańskiego Parku Narodowego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położonych w otulinie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oraz na terenie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w gminie Grajewo, w obrębie geodezyjnym Sojczyn Grądowy. 2. Zabieg składa się z dwóch etapów: 1) Wstępne przygotowanie terenu pod użytkowanie kośne poprzez selektywne odkrzaczenie z nalotu roślinności drzewiastej i </w:t>
      </w:r>
      <w:r w:rsidRPr="00C641D4">
        <w:rPr>
          <w:rFonts w:ascii="Book Antiqua" w:eastAsia="Times New Roman" w:hAnsi="Book Antiqua" w:cs="Arial CE"/>
          <w:color w:val="000000"/>
          <w:lang w:eastAsia="pl-PL"/>
        </w:rPr>
        <w:lastRenderedPageBreak/>
        <w:t xml:space="preserve">krzewów wraz z wywozem uzyskanej biomasy. 2) Ostateczne przygotowanie terenu pod użytkowanie kośne rozumiane jako usunięcie przypowierzchniowej biomasy w sposób ręczny lub mechanicznie wraz z wywozem uzyskanej biomasy. Szczegółowy opis działek, typ wykonania zabiegu wraz z powierzchnią wskazaną do zabiegu (w hektarach) znajduje się poniżej - w Tabeli nr 1. Lokalizację obszaru wyznaczonego do zabiegów przedstawiono na mapach w Załączniku nr 9 do SIWZ. UWAGA!!! Obszar objęty pracami jest terenem wyjątkowo trudno dostępnym, podmokłym, o podłożu torfowym/ o nierównym podłożu z licznymi dołami potorfowymi, wyrwami powodowanymi przez bobry itp. 3. Na życzenie Wykonawców Zamawiający może zorganizować oględziny terenu zabiegów w jednym dla wszystkich Wykonawców, podanym terminie tj. 17 grudnia 2015 r., godz. 9.00, spotkanie przy jazie przy ul. Modzelówka w miejscowości Ruda, gm. Grajewo, po uprzednim zgłoszeniu telefonicznym na numer 85 738 30 43 lub 85 738 30 39 do dnia 16 grudnia 2015 r. 4. Do przeprowadzenia zabiegów Wykonawca użyje własnych zasobów. 5. Pierwszy etap zamówienia - zabieg polegający na wstępnym przygotowaniu terenu pod użytkowanie kośne poprzez selektywne usunięcie nalotu roślinności drzewiastej i krzewów wraz z wywozem uzyskanej biomasy. Zabiegi należy prowadzić przy uwzględnieniu następujących zasad: 1) Jako zabiegi ręczne (R) należy rozumieć wykonanie odkrzaczania z nalotu roślinności drzewiastej i krzewów za pomocą sekatora, maczety, piły spalinowej/piły na wysięgniku lub siekier i tasaków. Jako zabiegi mechaniczne (M) należy rozumieć wykonanie odkrzaczania z użyciem pojazdu mechanicznego zaopatrzonego w urządzenia do usuwania nalotu roślinności drzewiastej i krzewów. 2) Należy wziąć pod uwagę, że nalot roślinności drzewiastej oraz krzewy są z reguły rozmieszczone nierównomiernie na każdej powierzchni przeznaczonej do zabiegów. UWAGA! Zabiegi nie obejmują wycinki drzew, których obwód pnia na wysokości 5 cm przekracza: 35 cm w przypadku topoli i wierzb, w przypadku pozostałych gatunków drzew powyżej 25 cm obwodu. 3) Ponadto nie należy wycinać zwartych kęp </w:t>
      </w:r>
      <w:proofErr w:type="spellStart"/>
      <w:r w:rsidRPr="00C641D4">
        <w:rPr>
          <w:rFonts w:ascii="Book Antiqua" w:eastAsia="Times New Roman" w:hAnsi="Book Antiqua" w:cs="Arial CE"/>
          <w:color w:val="000000"/>
          <w:lang w:eastAsia="pl-PL"/>
        </w:rPr>
        <w:t>zadrzewień</w:t>
      </w:r>
      <w:proofErr w:type="spellEnd"/>
      <w:r w:rsidRPr="00C641D4">
        <w:rPr>
          <w:rFonts w:ascii="Book Antiqua" w:eastAsia="Times New Roman" w:hAnsi="Book Antiqua" w:cs="Arial CE"/>
          <w:color w:val="000000"/>
          <w:lang w:eastAsia="pl-PL"/>
        </w:rPr>
        <w:t xml:space="preserve"> lub pojedynczych drzew, wskazanych przez Zamawiającego. Wysokość cięcia nalotu i podrostu roślinności drzewiastej i </w:t>
      </w:r>
      <w:proofErr w:type="spellStart"/>
      <w:r w:rsidRPr="00C641D4">
        <w:rPr>
          <w:rFonts w:ascii="Book Antiqua" w:eastAsia="Times New Roman" w:hAnsi="Book Antiqua" w:cs="Arial CE"/>
          <w:color w:val="000000"/>
          <w:lang w:eastAsia="pl-PL"/>
        </w:rPr>
        <w:t>zakrzaczeń</w:t>
      </w:r>
      <w:proofErr w:type="spellEnd"/>
      <w:r w:rsidRPr="00C641D4">
        <w:rPr>
          <w:rFonts w:ascii="Book Antiqua" w:eastAsia="Times New Roman" w:hAnsi="Book Antiqua" w:cs="Arial CE"/>
          <w:color w:val="000000"/>
          <w:lang w:eastAsia="pl-PL"/>
        </w:rPr>
        <w:t xml:space="preserve"> - do 5 cm nad powierzchnią gruntu lub na wysokości szyi korzeniowej. Zabieg nie może powodować uszkodzeń struktury kępowej bagiennego siedliska (np. turzycowisk kępowych), trwale niszczyć roślinności, ani uszkadzać struktury torfu. 4) W przypadku utrzymywania się aury pogodowej uniemożliwiającej prawidłowe wykonanie zabiegów dłużej niż tydzień, o wszelkich utrudnieniach w realizacji działań należy niezwłocznie, na piśmie, powiadomić dyrektora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Może to stanowić podstawę do przedłużenia/zmiany warunków umowy. 5) Granice powierzchni wyznaczonych pod zabiegi zostaną przekazane Wykonawcy w </w:t>
      </w:r>
      <w:r w:rsidRPr="00C641D4">
        <w:rPr>
          <w:rFonts w:ascii="Book Antiqua" w:eastAsia="Times New Roman" w:hAnsi="Book Antiqua" w:cs="Arial CE"/>
          <w:color w:val="000000"/>
          <w:lang w:eastAsia="pl-PL"/>
        </w:rPr>
        <w:lastRenderedPageBreak/>
        <w:t xml:space="preserve">formacie </w:t>
      </w:r>
      <w:proofErr w:type="spellStart"/>
      <w:r w:rsidRPr="00C641D4">
        <w:rPr>
          <w:rFonts w:ascii="Book Antiqua" w:eastAsia="Times New Roman" w:hAnsi="Book Antiqua" w:cs="Arial CE"/>
          <w:color w:val="000000"/>
          <w:lang w:eastAsia="pl-PL"/>
        </w:rPr>
        <w:t>shp</w:t>
      </w:r>
      <w:proofErr w:type="spellEnd"/>
      <w:r w:rsidRPr="00C641D4">
        <w:rPr>
          <w:rFonts w:ascii="Book Antiqua" w:eastAsia="Times New Roman" w:hAnsi="Book Antiqua" w:cs="Arial CE"/>
          <w:color w:val="000000"/>
          <w:lang w:eastAsia="pl-PL"/>
        </w:rPr>
        <w:t xml:space="preserve"> lub </w:t>
      </w:r>
      <w:proofErr w:type="spellStart"/>
      <w:r w:rsidRPr="00C641D4">
        <w:rPr>
          <w:rFonts w:ascii="Book Antiqua" w:eastAsia="Times New Roman" w:hAnsi="Book Antiqua" w:cs="Arial CE"/>
          <w:color w:val="000000"/>
          <w:lang w:eastAsia="pl-PL"/>
        </w:rPr>
        <w:t>gpx</w:t>
      </w:r>
      <w:proofErr w:type="spellEnd"/>
      <w:r w:rsidRPr="00C641D4">
        <w:rPr>
          <w:rFonts w:ascii="Book Antiqua" w:eastAsia="Times New Roman" w:hAnsi="Book Antiqua" w:cs="Arial CE"/>
          <w:color w:val="000000"/>
          <w:lang w:eastAsia="pl-PL"/>
        </w:rPr>
        <w:t xml:space="preserve">, po podpisaniu umowy. Ponadto granica części działek pod zabiegi została oznaczona kolorem pomarańczowym bądź drewnianymi palikami w terenie. Wykonawca jest zobowiązany dopilnować podczas realizacji prac, wykorzystując własny sprzęt GPS, aby wykonać zabiegi nie przekraczając granicy działek ewidencyjnych należących do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6) Ścięta biomasa musi być zebrana w stosy w ciągu 2 tygodni po wycięciu. Wywóz biomasy może odbywać się tylko przy uwilgotnieniu gruntu umożliwiającym wywóz bez uszkadzania podłoża. W innych przypadkach biomasa musi pozostać na powierzchni do czasu poprawy warunków, tj. zamarznięcia gruntu w stopniu umożliwiającym wywóz biomasy bez powodowania uszkodzeń jego powierzchni. Prace muszą odbywać się poza sezonem lęgowym ptaków, tj. poza okresem od 20 lutego do 15 sierpnia. Ten etap ma zostać wykonany w nieprzekraczalnym terminie do dnia 31 grudnia 2016 r. 7) Dojazd do powierzchni w celu usunięcia i wywozu biomasy musi odbywać się po uprzednio uzgodnionych z Zamawiającym drogach wywozowych oraz po istniejących drogach publicznych, ewidencyjnych lub terenowych. W przypadku powierzchni, do których dojazd odbywa się po gruncie prywatnym lub gruncie innej własności, Wykonawca musi ustalić to z właścicielem gruntu. 8) Niedozwolone jest palenie pozyskanej biomasy na terenie zabiegów jak i zatopienie biomasy w rowach i ciekach wodnych, pod rygorem zastosowania kary umownej przez Zamawiającego dla Wykonawcy (szczegóły we wzorze umowy - Załącznik 6). Zagospodarowanie biomasy będzie obowiązkiem Wykonawcy zabiegów. Niedozwolone jest zrąbkowane pozyskanej biomasy na terenie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i jego otuliny. Pozyskana biomasa stanowi własność Wykonawcy. 6. Drugi etap zamówienia czyli ostateczne przygotowanie terenu pod użytkowanie kośne, rozumiane jako usunięcie przypowierzchniowej biomasy w sposób ręczny lub mechanicznie wraz z wywozem uzyskanej biomasy, mający m. in. na celu zahamowanie sukcesji po uprzednim odkrzaczeniu terenu (po I etapie prac). Prace w tym etapie należy prowadzić przy uwzględnieniu następujących zasad: 1) zabieg należy wykonać w terminie od 16 sierpnia 2016 r. do 31 grudnia 2017 r. Aby usunąć rozwijające się </w:t>
      </w:r>
      <w:proofErr w:type="spellStart"/>
      <w:r w:rsidRPr="00C641D4">
        <w:rPr>
          <w:rFonts w:ascii="Book Antiqua" w:eastAsia="Times New Roman" w:hAnsi="Book Antiqua" w:cs="Arial CE"/>
          <w:color w:val="000000"/>
          <w:lang w:eastAsia="pl-PL"/>
        </w:rPr>
        <w:t>odrośla</w:t>
      </w:r>
      <w:proofErr w:type="spellEnd"/>
      <w:r w:rsidRPr="00C641D4">
        <w:rPr>
          <w:rFonts w:ascii="Book Antiqua" w:eastAsia="Times New Roman" w:hAnsi="Book Antiqua" w:cs="Arial CE"/>
          <w:color w:val="000000"/>
          <w:lang w:eastAsia="pl-PL"/>
        </w:rPr>
        <w:t xml:space="preserve"> przy gruncie, zabieg na działkach, na których wykonano I etap prac przed okresem wegetacyjnym 2016 r., powinien się odbyć po okresie wegetacyjnym 2016 r., a na działkach, na których wykonano I etap prac przed sezonem wegetacyjnym 2017 r., powinien się odbyć po okresie wegetacyjnym 2017 r. Zbioru biomasy należy dokonać w czasie do 3 tygodni od wykonania zabiegu. Wywóz całej biomasy, powstałej w wyniku zabiegu musi nastąpić w nieprzekraczalnym terminie do 31 grudnia 2017 r. Wskazane jest jednak, aby biomasa była wywożona sukcesywnie. W przypadku utrzymywania się aury pogodowej uniemożliwiającej prawidłowe wykonanie zabiegów, dłużej niż przez tydzień </w:t>
      </w:r>
      <w:r w:rsidRPr="00C641D4">
        <w:rPr>
          <w:rFonts w:ascii="Book Antiqua" w:eastAsia="Times New Roman" w:hAnsi="Book Antiqua" w:cs="Arial CE"/>
          <w:color w:val="000000"/>
          <w:lang w:eastAsia="pl-PL"/>
        </w:rPr>
        <w:lastRenderedPageBreak/>
        <w:t xml:space="preserve">ww. okresie, należy niezwłocznie poinformować na piśmie Zamawiającego o trudnościach w realizacji działań. 2) W zależności od lokalizacji powierzchni i aktualnych warunków pogodowych zabiegi można prowadzić mechanicznie lub ręcznie (zależne od struktury podłoża oraz uwilgotnienia gruntu). Rodzaj zabiegu zostanie ustalony przed jego wykonaniem z Zamawiającym. 3) Jako zabiegi mechaniczne (M) należy rozumieć usunięcie przypowierzchniowej biomasy za pomocą kosiarki rotacyjnej lub bijakowej lub użycie ratraka dostosowanego do warunków biebrzańskich bagien, zaopatrzonego w zestaw urządzeń koszących. Jako zabiegi ręczne należy rozumieć usunięcie przypowierzchniowej biomasy za pomocą kosy ręcznej lub spalinowej (R). Typ zabiegu do wykonania na danej działce został wskazany w Tabeli nr 1. Może on jednak ulec zmianie w zależności od warunków pogodowych i decyzji Zamawiającego, w uzgodnieniu z Wykonawcą. 4) Wysokość usuwania przypowierzchniowej biomasy to 5 cm nad poziomem gruntu. W przypadku siedlisk o strukturze kępowej, wysokość wykonywania zabiegu ustala się na 5 cm od wierzchołka kępy. Zabieg nie może powodować uszkodzeń struktury kęp, trwale niszczyć roślinności, ani uszkadzać struktury torfu. W tym przypadku zabieg musi być bezwzględnie wykonany ręcznie. 5) W przypadku ręcznego usuwania, biomasa musi być zebrana w stogi lub w kopy w ciągu 3 tygodni po usunięciu przypowierzchniowej biomasy. W przypadku mechanicznego ścięta biomasa musi być zebrana w stogi lub w kopy, bele bądź w kostki w ciągu 3 tygodni po skoszeniu. W uzasadnionych przypadkach po pisemnym uzgodnieniu z dyrektorem </w:t>
      </w:r>
      <w:proofErr w:type="spellStart"/>
      <w:r w:rsidRPr="00C641D4">
        <w:rPr>
          <w:rFonts w:ascii="Book Antiqua" w:eastAsia="Times New Roman" w:hAnsi="Book Antiqua" w:cs="Arial CE"/>
          <w:color w:val="000000"/>
          <w:lang w:eastAsia="pl-PL"/>
        </w:rPr>
        <w:t>BbPN</w:t>
      </w:r>
      <w:proofErr w:type="spellEnd"/>
      <w:r w:rsidRPr="00C641D4">
        <w:rPr>
          <w:rFonts w:ascii="Book Antiqua" w:eastAsia="Times New Roman" w:hAnsi="Book Antiqua" w:cs="Arial CE"/>
          <w:color w:val="000000"/>
          <w:lang w:eastAsia="pl-PL"/>
        </w:rPr>
        <w:t xml:space="preserve"> dopuszcza się przedłużenie tego terminu. Pozyskana biomasa stanowi własność Wykonawcy. 6) Dojazd do powierzchni w celu usunięcia i wywozu biomasy musi odbywać się po uprzednio uzgodnionych z Zamawiającym drogach wywozowych oraz po istniejących drogach publicznych, ewidencyjnych lub terenowych. W przypadku powierzchni, do których dojazd odbywa się po gruncie prywatnym lub gruncie innej własności, Wykonawca musi ustalić to z właścicielem gruntu. 7. Zamawiający informuje, że podana powierzchnia działek, na których wykonywane będą zabiegi objęte przedmiotem zamówienia może ulec zmniejszeniu maksymalnie o 10% - w odniesieniu do każdego etapu zamówienia, w przypadku niekorzystnych warunków atmosferycznych, okoliczności wywołanych przez klęski żywiołowe i katastrofy naturalne - uniemożliwiających wykonanie prac objętych umową. W takim przypadku zmniejszeniu ulegnie wynagrodzenie Wykonawcy, które obliczone będzie według rzeczywiście wykonanych zabiegów, przy przyjęciu stawek jednostkowych za 1 ha, określonych w ofercie wykonawcy. Ograniczenie przedmiotu umowy na zasadach wyżej określonych nie stanowi niewykonania lub nienależytego wykonania zobowiązania i nie jest w związku z </w:t>
      </w:r>
      <w:r w:rsidRPr="00C641D4">
        <w:rPr>
          <w:rFonts w:ascii="Book Antiqua" w:eastAsia="Times New Roman" w:hAnsi="Book Antiqua" w:cs="Arial CE"/>
          <w:color w:val="000000"/>
          <w:lang w:eastAsia="pl-PL"/>
        </w:rPr>
        <w:lastRenderedPageBreak/>
        <w:t>tym podstawą do podnoszenia jakichkolwiek roszczeń w stosunku do Zamawiającego (prawo opcji). Wykaz i lokalizacja działek przeznaczonych do wykonania zabiegów przedstawia Tabela nr 1..</w:t>
      </w:r>
    </w:p>
    <w:p w:rsidR="002443A4" w:rsidRPr="00C641D4" w:rsidRDefault="002443A4" w:rsidP="00C641D4">
      <w:pPr>
        <w:spacing w:after="0" w:line="400" w:lineRule="atLeast"/>
        <w:ind w:left="225"/>
        <w:jc w:val="both"/>
        <w:rPr>
          <w:rFonts w:ascii="Book Antiqua" w:eastAsia="Times New Roman" w:hAnsi="Book Antiqua" w:cs="Arial CE"/>
          <w:b/>
          <w:bCs/>
          <w:color w:val="000000"/>
          <w:lang w:eastAsia="pl-PL"/>
        </w:rPr>
      </w:pPr>
      <w:r w:rsidRPr="00C641D4">
        <w:rPr>
          <w:rFonts w:ascii="Book Antiqua" w:eastAsia="Times New Roman" w:hAnsi="Book Antiqua" w:cs="Arial CE"/>
          <w:b/>
          <w:bCs/>
          <w:color w:val="00000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476"/>
      </w:tblGrid>
      <w:tr w:rsidR="002443A4" w:rsidRPr="00C641D4" w:rsidTr="002443A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b/>
                <w:bCs/>
                <w:color w:val="000000"/>
                <w:lang w:eastAsia="pl-PL"/>
              </w:rPr>
              <w:t> </w:t>
            </w:r>
          </w:p>
        </w:tc>
        <w:tc>
          <w:tcPr>
            <w:tcW w:w="0" w:type="auto"/>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b/>
                <w:bCs/>
                <w:color w:val="000000"/>
                <w:lang w:eastAsia="pl-PL"/>
              </w:rPr>
              <w:t>przewiduje się udzielenie zamówień uzupełniających</w:t>
            </w:r>
          </w:p>
        </w:tc>
      </w:tr>
    </w:tbl>
    <w:p w:rsidR="002443A4" w:rsidRPr="00C641D4" w:rsidRDefault="002443A4" w:rsidP="00C641D4">
      <w:pPr>
        <w:numPr>
          <w:ilvl w:val="0"/>
          <w:numId w:val="2"/>
        </w:numPr>
        <w:spacing w:before="100" w:beforeAutospacing="1" w:after="100" w:afterAutospacing="1" w:line="400" w:lineRule="atLeast"/>
        <w:ind w:left="450"/>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Określenie przedmiotu oraz wielkości lub zakresu zamówień uzupełniających</w:t>
      </w:r>
    </w:p>
    <w:p w:rsidR="002443A4" w:rsidRPr="00C641D4" w:rsidRDefault="002443A4" w:rsidP="00C641D4">
      <w:pPr>
        <w:numPr>
          <w:ilvl w:val="0"/>
          <w:numId w:val="2"/>
        </w:numPr>
        <w:spacing w:before="100" w:beforeAutospacing="1" w:after="100" w:afterAutospacing="1" w:line="400" w:lineRule="atLeast"/>
        <w:ind w:left="450"/>
        <w:jc w:val="both"/>
        <w:rPr>
          <w:rFonts w:ascii="Book Antiqua" w:eastAsia="Times New Roman" w:hAnsi="Book Antiqua" w:cs="Arial CE"/>
          <w:color w:val="000000"/>
          <w:lang w:eastAsia="pl-PL"/>
        </w:rPr>
      </w:pP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II.1.6) Wspólny Słownik Zamówień (CPV):</w:t>
      </w:r>
      <w:r w:rsidRPr="00C641D4">
        <w:rPr>
          <w:rFonts w:ascii="Book Antiqua" w:eastAsia="Times New Roman" w:hAnsi="Book Antiqua" w:cs="Arial CE"/>
          <w:color w:val="000000"/>
          <w:lang w:eastAsia="pl-PL"/>
        </w:rPr>
        <w:t> 77.00.00.00-0.</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II.1.7) Czy dopuszcza się złożenie oferty częściowej:</w:t>
      </w:r>
      <w:r w:rsidRPr="00C641D4">
        <w:rPr>
          <w:rFonts w:ascii="Book Antiqua" w:eastAsia="Times New Roman" w:hAnsi="Book Antiqua" w:cs="Arial CE"/>
          <w:color w:val="000000"/>
          <w:lang w:eastAsia="pl-PL"/>
        </w:rPr>
        <w:t> nie.</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II.1.8) Czy dopuszcza się złożenie oferty wariantowej:</w:t>
      </w:r>
      <w:r w:rsidRPr="00C641D4">
        <w:rPr>
          <w:rFonts w:ascii="Book Antiqua" w:eastAsia="Times New Roman" w:hAnsi="Book Antiqua" w:cs="Arial CE"/>
          <w:color w:val="000000"/>
          <w:lang w:eastAsia="pl-PL"/>
        </w:rPr>
        <w:t> nie.</w:t>
      </w:r>
    </w:p>
    <w:p w:rsidR="002443A4" w:rsidRPr="00C641D4" w:rsidRDefault="002443A4" w:rsidP="00C641D4">
      <w:pPr>
        <w:spacing w:after="0" w:line="240" w:lineRule="auto"/>
        <w:jc w:val="both"/>
        <w:rPr>
          <w:rFonts w:ascii="Book Antiqua" w:eastAsia="Times New Roman" w:hAnsi="Book Antiqua" w:cs="Times New Roman"/>
          <w:lang w:eastAsia="pl-PL"/>
        </w:rPr>
      </w:pPr>
      <w:r w:rsidRPr="00C641D4">
        <w:rPr>
          <w:rFonts w:ascii="Book Antiqua" w:eastAsia="Times New Roman" w:hAnsi="Book Antiqua" w:cs="Arial CE"/>
          <w:color w:val="000000"/>
          <w:lang w:eastAsia="pl-PL"/>
        </w:rPr>
        <w:br/>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II.2) CZAS TRWANIA ZAMÓWIENIA LUB TERMIN WYKONANIA:</w:t>
      </w:r>
      <w:r w:rsidRPr="00C641D4">
        <w:rPr>
          <w:rFonts w:ascii="Book Antiqua" w:eastAsia="Times New Roman" w:hAnsi="Book Antiqua" w:cs="Arial CE"/>
          <w:color w:val="000000"/>
          <w:lang w:eastAsia="pl-PL"/>
        </w:rPr>
        <w:t> Zakończenie: 31.12.2017.</w:t>
      </w:r>
    </w:p>
    <w:p w:rsidR="002443A4" w:rsidRPr="00C641D4" w:rsidRDefault="002443A4" w:rsidP="00C641D4">
      <w:pPr>
        <w:spacing w:before="375" w:after="225" w:line="400" w:lineRule="atLeast"/>
        <w:jc w:val="both"/>
        <w:rPr>
          <w:rFonts w:ascii="Book Antiqua" w:eastAsia="Times New Roman" w:hAnsi="Book Antiqua" w:cs="Arial CE"/>
          <w:b/>
          <w:bCs/>
          <w:color w:val="000000"/>
          <w:u w:val="single"/>
          <w:lang w:eastAsia="pl-PL"/>
        </w:rPr>
      </w:pPr>
      <w:r w:rsidRPr="00C641D4">
        <w:rPr>
          <w:rFonts w:ascii="Book Antiqua" w:eastAsia="Times New Roman" w:hAnsi="Book Antiqua" w:cs="Arial CE"/>
          <w:b/>
          <w:bCs/>
          <w:color w:val="000000"/>
          <w:u w:val="single"/>
          <w:lang w:eastAsia="pl-PL"/>
        </w:rPr>
        <w:t>SEKCJA III: INFORMACJE O CHARAKTERZE PRAWNYM, EKONOMICZNYM, FINANSOWYM I TECHNICZNYM</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III.1) WADIUM</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Informacja na temat wadium:</w:t>
      </w:r>
      <w:r w:rsidRPr="00C641D4">
        <w:rPr>
          <w:rFonts w:ascii="Book Antiqua" w:eastAsia="Times New Roman" w:hAnsi="Book Antiqua" w:cs="Arial CE"/>
          <w:color w:val="000000"/>
          <w:lang w:eastAsia="pl-PL"/>
        </w:rPr>
        <w:t> 1. Wysokość wadium wynosi 2 500,00 zł 2. Wadium może być wnoszone tylko w pieniądzu i należy wpłacić przelewem na rachunek bankowy Biebrzańskiego Parku Narodowego w Osowcu-Twierdzy 8, 19-110 Goniądz nr 37 1130 1059 0017 3397 2620 0005. 3. Za skuteczne wniesienie wadium w pieniądzu Zamawiający uważa wadium, które znajdzie się na koncie bankowym Zamawiającego przed upływem terminu składania ofert. 4. Zamawiający dokona zwrotu wadium niezwłocznie, jeżeli zostaną spełnione warunki określone w art. 46 ust. l i ust. 2 ustawy, z zastrzeżeniem ust 4a. 5. Wykonawca traci wadium wraz z odsetkami na rzecz Zamawiającego w przypadkach określonych w art. 46 ust. 4a i 5 ustawy.</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III.2) ZALICZKI</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III.3) WARUNKI UDZIAŁU W POSTĘPOWANIU ORAZ OPIS SPOSOBU DOKONYWANIA OCENY SPEŁNIANIA TYCH WARUNKÓW</w:t>
      </w:r>
    </w:p>
    <w:p w:rsidR="002443A4" w:rsidRPr="00C641D4" w:rsidRDefault="002443A4" w:rsidP="00C641D4">
      <w:pPr>
        <w:numPr>
          <w:ilvl w:val="0"/>
          <w:numId w:val="3"/>
        </w:num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 3.1) Uprawnienia do wykonywania określonej działalności lub czynności, jeżeli przepisy prawa nakładają obowiązek ich posiadania</w:t>
      </w:r>
    </w:p>
    <w:p w:rsidR="002443A4" w:rsidRPr="00C641D4" w:rsidRDefault="002443A4" w:rsidP="00C641D4">
      <w:p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Opis sposobu dokonywania oceny spełniania tego warunku</w:t>
      </w:r>
    </w:p>
    <w:p w:rsidR="002443A4" w:rsidRPr="00C641D4" w:rsidRDefault="002443A4" w:rsidP="00C641D4">
      <w:pPr>
        <w:numPr>
          <w:ilvl w:val="1"/>
          <w:numId w:val="3"/>
        </w:numPr>
        <w:spacing w:after="0" w:line="400" w:lineRule="atLeast"/>
        <w:ind w:left="1125"/>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lastRenderedPageBreak/>
        <w:t>Zamawiający nie precyzuje w tym zakresie żadnych wymagań, których spełnianie Wykonawca zobowiązany jest wykazać w sposób szczególny. Zamawiający uzna warunek za spełniony na podstawie oświadczenia złożonego przez Wykonawcę, zgodnie z treścią Załącznika nr 2 SIWZ.</w:t>
      </w:r>
    </w:p>
    <w:p w:rsidR="002443A4" w:rsidRPr="00C641D4" w:rsidRDefault="002443A4" w:rsidP="00C641D4">
      <w:pPr>
        <w:numPr>
          <w:ilvl w:val="0"/>
          <w:numId w:val="3"/>
        </w:num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III.3.2) Wiedza i doświadczenie</w:t>
      </w:r>
    </w:p>
    <w:p w:rsidR="002443A4" w:rsidRPr="00C641D4" w:rsidRDefault="002443A4" w:rsidP="00C641D4">
      <w:p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Opis sposobu dokonywania oceny spełniania tego warunku</w:t>
      </w:r>
    </w:p>
    <w:p w:rsidR="002443A4" w:rsidRPr="00C641D4" w:rsidRDefault="002443A4" w:rsidP="00C641D4">
      <w:pPr>
        <w:numPr>
          <w:ilvl w:val="1"/>
          <w:numId w:val="3"/>
        </w:numPr>
        <w:spacing w:after="0" w:line="400" w:lineRule="atLeast"/>
        <w:ind w:left="1125"/>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Zamawiający uzna powyższy warunek za spełniony, jeżeli Wykonawca wykaże, że w okresie ostatnich trzech lat przed upływem terminu składania ofert, a jeżeli okres prowadzenia działalności jest krótszy w tym okresie - był Wykonawcą co najmniej dwóch usług, obejmujących zabiegi odkrzaczania/ usuwania nalotu roślinności drzewiastej i krzewów na terenach bagiennych lub obszarach chronionych o wartości nie mniejszej niż 20 000 zł brutto/każda. Zamawiający uzna warunek za spełniony na podstawie oświadczenia złożonego przez Wykonawcę, zgodnie z treścią Załącznika nr 5 SIWZ, oraz na podstawie dołączonych dokumentów, potwierdzających należyte wykonanie usługi, tj. np. faktur, rachunków, protokołów odbioru.</w:t>
      </w:r>
    </w:p>
    <w:p w:rsidR="002443A4" w:rsidRPr="00C641D4" w:rsidRDefault="002443A4" w:rsidP="00C641D4">
      <w:pPr>
        <w:numPr>
          <w:ilvl w:val="0"/>
          <w:numId w:val="3"/>
        </w:num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III.3.3) Potencjał techniczny</w:t>
      </w:r>
    </w:p>
    <w:p w:rsidR="002443A4" w:rsidRPr="00C641D4" w:rsidRDefault="002443A4" w:rsidP="00C641D4">
      <w:p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Opis sposobu dokonywania oceny spełniania tego warunku</w:t>
      </w:r>
    </w:p>
    <w:p w:rsidR="002443A4" w:rsidRPr="00C641D4" w:rsidRDefault="002443A4" w:rsidP="00C641D4">
      <w:pPr>
        <w:numPr>
          <w:ilvl w:val="1"/>
          <w:numId w:val="3"/>
        </w:numPr>
        <w:spacing w:after="0" w:line="400" w:lineRule="atLeast"/>
        <w:ind w:left="1125"/>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Zamawiający nie precyzuje w tym zakresie żadnych wymagań, których spełnianie Wykonawcy zobowiązany jest wykazać w sposób szczególny. Zamawiający uzna warunek za spełniony na podstawie oświadczenia złożonego przez Wykonawcę, zgodnie z treścią Załącznika nr 2 SIWZ.</w:t>
      </w:r>
    </w:p>
    <w:p w:rsidR="002443A4" w:rsidRPr="00C641D4" w:rsidRDefault="002443A4" w:rsidP="00C641D4">
      <w:pPr>
        <w:numPr>
          <w:ilvl w:val="0"/>
          <w:numId w:val="3"/>
        </w:num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III.3.4) Osoby zdolne do wykonania zamówienia</w:t>
      </w:r>
    </w:p>
    <w:p w:rsidR="002443A4" w:rsidRPr="00C641D4" w:rsidRDefault="002443A4" w:rsidP="00C641D4">
      <w:p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Opis sposobu dokonywania oceny spełniania tego warunku</w:t>
      </w:r>
    </w:p>
    <w:p w:rsidR="002443A4" w:rsidRPr="00C641D4" w:rsidRDefault="002443A4" w:rsidP="00C641D4">
      <w:pPr>
        <w:numPr>
          <w:ilvl w:val="1"/>
          <w:numId w:val="3"/>
        </w:numPr>
        <w:spacing w:after="0" w:line="400" w:lineRule="atLeast"/>
        <w:ind w:left="1125"/>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Zamawiający nie precyzuje w tym zakresie żadnych wymagań, których spełnianie Wykonawcy zobowiązany jest wykazać w sposób szczególny. Zamawiający uzna warunek za spełniony na podstawie oświadczenia złożonego przez Wykonawcę, zgodnie z treścią Załącznika nr 2 SIWZ.</w:t>
      </w:r>
    </w:p>
    <w:p w:rsidR="002443A4" w:rsidRPr="00C641D4" w:rsidRDefault="002443A4" w:rsidP="00C641D4">
      <w:pPr>
        <w:numPr>
          <w:ilvl w:val="0"/>
          <w:numId w:val="3"/>
        </w:num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III.3.5) Sytuacja ekonomiczna i finansowa</w:t>
      </w:r>
    </w:p>
    <w:p w:rsidR="002443A4" w:rsidRPr="00C641D4" w:rsidRDefault="002443A4" w:rsidP="00C641D4">
      <w:pPr>
        <w:spacing w:after="0" w:line="400" w:lineRule="atLeast"/>
        <w:ind w:left="67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Opis sposobu dokonywania oceny spełniania tego warunku</w:t>
      </w:r>
    </w:p>
    <w:p w:rsidR="002443A4" w:rsidRPr="00C641D4" w:rsidRDefault="002443A4" w:rsidP="00C641D4">
      <w:pPr>
        <w:numPr>
          <w:ilvl w:val="1"/>
          <w:numId w:val="3"/>
        </w:numPr>
        <w:spacing w:after="0" w:line="400" w:lineRule="atLeast"/>
        <w:ind w:left="1125"/>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Zamawiający nie precyzuje w tym zakresie żadnych wymagań, których spełnianie Wykonawca zobowiązany jest wykazać w sposób szczególny. Zamawiający uzna warunek za spełniony na podstawie oświadczenia złożonego przez Wykonawcę, zgodnie z treścią Załącznika nr 2 SIWZ.</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III.4.2) W zakresie potwierdzenia niepodlegania wykluczeniu na podstawie art. 24 ust. 1 ustawy, należy przedłożyć:</w:t>
      </w:r>
    </w:p>
    <w:p w:rsidR="002443A4" w:rsidRPr="00C641D4" w:rsidRDefault="002443A4" w:rsidP="00C641D4">
      <w:pPr>
        <w:numPr>
          <w:ilvl w:val="0"/>
          <w:numId w:val="4"/>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oświadczenie o braku podstaw do wykluczenia;</w:t>
      </w:r>
    </w:p>
    <w:p w:rsidR="002443A4" w:rsidRPr="00C641D4" w:rsidRDefault="002443A4" w:rsidP="00C641D4">
      <w:pPr>
        <w:numPr>
          <w:ilvl w:val="0"/>
          <w:numId w:val="4"/>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443A4" w:rsidRPr="00C641D4" w:rsidRDefault="002443A4" w:rsidP="00C641D4">
      <w:pPr>
        <w:numPr>
          <w:ilvl w:val="0"/>
          <w:numId w:val="4"/>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443A4" w:rsidRPr="00C641D4" w:rsidRDefault="002443A4" w:rsidP="00C641D4">
      <w:pPr>
        <w:numPr>
          <w:ilvl w:val="0"/>
          <w:numId w:val="4"/>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443A4" w:rsidRPr="00C641D4" w:rsidRDefault="002443A4" w:rsidP="00C641D4">
      <w:pPr>
        <w:spacing w:after="0" w:line="400" w:lineRule="atLeast"/>
        <w:ind w:left="225"/>
        <w:jc w:val="both"/>
        <w:rPr>
          <w:rFonts w:ascii="Book Antiqua" w:eastAsia="Times New Roman" w:hAnsi="Book Antiqua" w:cs="Arial CE"/>
          <w:b/>
          <w:bCs/>
          <w:color w:val="000000"/>
          <w:lang w:eastAsia="pl-PL"/>
        </w:rPr>
      </w:pPr>
      <w:r w:rsidRPr="00C641D4">
        <w:rPr>
          <w:rFonts w:ascii="Book Antiqua" w:eastAsia="Times New Roman" w:hAnsi="Book Antiqua" w:cs="Arial CE"/>
          <w:b/>
          <w:bCs/>
          <w:color w:val="000000"/>
          <w:lang w:eastAsia="pl-PL"/>
        </w:rPr>
        <w:t>III.4.3) Dokumenty podmiotów zagranicznych</w:t>
      </w:r>
    </w:p>
    <w:p w:rsidR="002443A4" w:rsidRPr="00C641D4" w:rsidRDefault="002443A4" w:rsidP="00C641D4">
      <w:pPr>
        <w:spacing w:after="0" w:line="400" w:lineRule="atLeast"/>
        <w:ind w:left="225"/>
        <w:jc w:val="both"/>
        <w:rPr>
          <w:rFonts w:ascii="Book Antiqua" w:eastAsia="Times New Roman" w:hAnsi="Book Antiqua" w:cs="Arial CE"/>
          <w:b/>
          <w:bCs/>
          <w:color w:val="000000"/>
          <w:lang w:eastAsia="pl-PL"/>
        </w:rPr>
      </w:pPr>
      <w:r w:rsidRPr="00C641D4">
        <w:rPr>
          <w:rFonts w:ascii="Book Antiqua" w:eastAsia="Times New Roman" w:hAnsi="Book Antiqua" w:cs="Arial CE"/>
          <w:b/>
          <w:bCs/>
          <w:color w:val="000000"/>
          <w:lang w:eastAsia="pl-PL"/>
        </w:rPr>
        <w:lastRenderedPageBreak/>
        <w:t>Jeżeli wykonawca ma siedzibę lub miejsce zamieszkania poza terytorium Rzeczypospolitej Polskiej, przedkłada:</w:t>
      </w:r>
    </w:p>
    <w:p w:rsidR="002443A4" w:rsidRPr="00C641D4" w:rsidRDefault="002443A4" w:rsidP="00C641D4">
      <w:pPr>
        <w:spacing w:after="0" w:line="400" w:lineRule="atLeast"/>
        <w:ind w:left="225"/>
        <w:jc w:val="both"/>
        <w:rPr>
          <w:rFonts w:ascii="Book Antiqua" w:eastAsia="Times New Roman" w:hAnsi="Book Antiqua" w:cs="Arial CE"/>
          <w:b/>
          <w:bCs/>
          <w:color w:val="000000"/>
          <w:lang w:eastAsia="pl-PL"/>
        </w:rPr>
      </w:pPr>
      <w:r w:rsidRPr="00C641D4">
        <w:rPr>
          <w:rFonts w:ascii="Book Antiqua" w:eastAsia="Times New Roman" w:hAnsi="Book Antiqua" w:cs="Arial CE"/>
          <w:b/>
          <w:bCs/>
          <w:color w:val="000000"/>
          <w:lang w:eastAsia="pl-PL"/>
        </w:rPr>
        <w:t>III.4.3.1) dokument wystawiony w kraju, w którym ma siedzibę lub miejsce zamieszkania potwierdzający, że:</w:t>
      </w:r>
    </w:p>
    <w:p w:rsidR="002443A4" w:rsidRPr="00C641D4" w:rsidRDefault="002443A4" w:rsidP="00C641D4">
      <w:pPr>
        <w:numPr>
          <w:ilvl w:val="0"/>
          <w:numId w:val="5"/>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443A4" w:rsidRPr="00C641D4" w:rsidRDefault="002443A4" w:rsidP="00C641D4">
      <w:pPr>
        <w:numPr>
          <w:ilvl w:val="0"/>
          <w:numId w:val="5"/>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443A4" w:rsidRPr="00C641D4" w:rsidRDefault="002443A4" w:rsidP="00C641D4">
      <w:pPr>
        <w:spacing w:after="0" w:line="400" w:lineRule="atLeast"/>
        <w:ind w:left="225"/>
        <w:jc w:val="both"/>
        <w:rPr>
          <w:rFonts w:ascii="Book Antiqua" w:eastAsia="Times New Roman" w:hAnsi="Book Antiqua" w:cs="Arial CE"/>
          <w:b/>
          <w:bCs/>
          <w:color w:val="000000"/>
          <w:lang w:eastAsia="pl-PL"/>
        </w:rPr>
      </w:pPr>
      <w:r w:rsidRPr="00C641D4">
        <w:rPr>
          <w:rFonts w:ascii="Book Antiqua" w:eastAsia="Times New Roman" w:hAnsi="Book Antiqua" w:cs="Arial CE"/>
          <w:b/>
          <w:bCs/>
          <w:color w:val="000000"/>
          <w:lang w:eastAsia="pl-PL"/>
        </w:rPr>
        <w:t>III.4.4) Dokumenty dotyczące przynależności do tej samej grupy kapitałowej</w:t>
      </w:r>
    </w:p>
    <w:p w:rsidR="002443A4" w:rsidRPr="00C641D4" w:rsidRDefault="002443A4" w:rsidP="00C641D4">
      <w:pPr>
        <w:numPr>
          <w:ilvl w:val="0"/>
          <w:numId w:val="6"/>
        </w:numPr>
        <w:spacing w:before="100" w:beforeAutospacing="1" w:after="180" w:line="400" w:lineRule="atLeast"/>
        <w:ind w:right="30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2443A4" w:rsidRPr="00C641D4" w:rsidRDefault="002443A4" w:rsidP="00C641D4">
      <w:pPr>
        <w:spacing w:before="375" w:after="225" w:line="400" w:lineRule="atLeast"/>
        <w:jc w:val="both"/>
        <w:rPr>
          <w:rFonts w:ascii="Book Antiqua" w:eastAsia="Times New Roman" w:hAnsi="Book Antiqua" w:cs="Arial CE"/>
          <w:b/>
          <w:bCs/>
          <w:color w:val="000000"/>
          <w:u w:val="single"/>
          <w:lang w:eastAsia="pl-PL"/>
        </w:rPr>
      </w:pPr>
      <w:r w:rsidRPr="00C641D4">
        <w:rPr>
          <w:rFonts w:ascii="Book Antiqua" w:eastAsia="Times New Roman" w:hAnsi="Book Antiqua" w:cs="Arial CE"/>
          <w:b/>
          <w:bCs/>
          <w:color w:val="000000"/>
          <w:u w:val="single"/>
          <w:lang w:eastAsia="pl-PL"/>
        </w:rPr>
        <w:t>SEKCJA IV: PROCEDURA</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IV.1) TRYB UDZIELENIA ZAMÓWIENIA</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IV.1.1) Tryb udzielenia zamówienia:</w:t>
      </w:r>
      <w:r w:rsidRPr="00C641D4">
        <w:rPr>
          <w:rFonts w:ascii="Book Antiqua" w:eastAsia="Times New Roman" w:hAnsi="Book Antiqua" w:cs="Arial CE"/>
          <w:color w:val="000000"/>
          <w:lang w:eastAsia="pl-PL"/>
        </w:rPr>
        <w:t> przetarg nieograniczony.</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IV.2) KRYTERIA OCENY OFERT</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IV.2.1) Kryteria oceny ofert: </w:t>
      </w:r>
      <w:r w:rsidRPr="00C641D4">
        <w:rPr>
          <w:rFonts w:ascii="Book Antiqua" w:eastAsia="Times New Roman" w:hAnsi="Book Antiqua" w:cs="Arial CE"/>
          <w:color w:val="000000"/>
          <w:lang w:eastAsia="pl-PL"/>
        </w:rPr>
        <w:t>cena oraz inne kryteria związane z przedmiotem zamówienia:</w:t>
      </w:r>
    </w:p>
    <w:p w:rsidR="002443A4" w:rsidRPr="00C641D4" w:rsidRDefault="002443A4" w:rsidP="00C641D4">
      <w:pPr>
        <w:numPr>
          <w:ilvl w:val="0"/>
          <w:numId w:val="7"/>
        </w:numPr>
        <w:spacing w:before="100" w:beforeAutospacing="1" w:after="100" w:afterAutospacing="1" w:line="400" w:lineRule="atLeast"/>
        <w:ind w:left="45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1 - Cena - 0.95</w:t>
      </w:r>
    </w:p>
    <w:p w:rsidR="002443A4" w:rsidRPr="00C641D4" w:rsidRDefault="002443A4" w:rsidP="00C641D4">
      <w:pPr>
        <w:numPr>
          <w:ilvl w:val="0"/>
          <w:numId w:val="7"/>
        </w:numPr>
        <w:spacing w:before="100" w:beforeAutospacing="1" w:after="100" w:afterAutospacing="1" w:line="400" w:lineRule="atLeast"/>
        <w:ind w:left="450"/>
        <w:jc w:val="both"/>
        <w:rPr>
          <w:rFonts w:ascii="Book Antiqua" w:eastAsia="Times New Roman" w:hAnsi="Book Antiqua" w:cs="Arial CE"/>
          <w:color w:val="000000"/>
          <w:lang w:eastAsia="pl-PL"/>
        </w:rPr>
      </w:pPr>
      <w:r w:rsidRPr="00C641D4">
        <w:rPr>
          <w:rFonts w:ascii="Book Antiqua" w:eastAsia="Times New Roman" w:hAnsi="Book Antiqua" w:cs="Arial CE"/>
          <w:color w:val="000000"/>
          <w:lang w:eastAsia="pl-PL"/>
        </w:rPr>
        <w:t>2 - Termin płatności - 0.05</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682"/>
      </w:tblGrid>
      <w:tr w:rsidR="002443A4" w:rsidRPr="00C641D4" w:rsidTr="002443A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b/>
                <w:bCs/>
                <w:color w:val="000000"/>
                <w:lang w:eastAsia="pl-PL"/>
              </w:rPr>
              <w:t> </w:t>
            </w:r>
          </w:p>
        </w:tc>
        <w:tc>
          <w:tcPr>
            <w:tcW w:w="0" w:type="auto"/>
            <w:vAlign w:val="center"/>
            <w:hideMark/>
          </w:tcPr>
          <w:p w:rsidR="002443A4" w:rsidRPr="00C641D4" w:rsidRDefault="002443A4" w:rsidP="00C641D4">
            <w:pPr>
              <w:spacing w:after="0" w:line="240" w:lineRule="auto"/>
              <w:jc w:val="both"/>
              <w:rPr>
                <w:rFonts w:ascii="Book Antiqua" w:eastAsia="Times New Roman" w:hAnsi="Book Antiqua" w:cs="Times New Roman"/>
                <w:color w:val="000000"/>
                <w:lang w:eastAsia="pl-PL"/>
              </w:rPr>
            </w:pPr>
            <w:r w:rsidRPr="00C641D4">
              <w:rPr>
                <w:rFonts w:ascii="Book Antiqua" w:eastAsia="Times New Roman" w:hAnsi="Book Antiqua" w:cs="Times New Roman"/>
                <w:b/>
                <w:bCs/>
                <w:color w:val="000000"/>
                <w:lang w:eastAsia="pl-PL"/>
              </w:rPr>
              <w:t>przeprowadzona będzie aukcja elektroniczna,</w:t>
            </w:r>
            <w:r w:rsidRPr="00C641D4">
              <w:rPr>
                <w:rFonts w:ascii="Book Antiqua" w:eastAsia="Times New Roman" w:hAnsi="Book Antiqua" w:cs="Times New Roman"/>
                <w:color w:val="000000"/>
                <w:lang w:eastAsia="pl-PL"/>
              </w:rPr>
              <w:t> adres strony, na której będzie prowadzona:</w:t>
            </w:r>
          </w:p>
        </w:tc>
      </w:tr>
    </w:tbl>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IV.4) INFORMACJE ADMINISTRACYJNE</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lastRenderedPageBreak/>
        <w:t>IV.4.1)</w:t>
      </w:r>
      <w:r w:rsidRPr="00C641D4">
        <w:rPr>
          <w:rFonts w:ascii="Book Antiqua" w:eastAsia="Times New Roman" w:hAnsi="Book Antiqua" w:cs="Arial CE"/>
          <w:color w:val="000000"/>
          <w:lang w:eastAsia="pl-PL"/>
        </w:rPr>
        <w:t> </w:t>
      </w:r>
      <w:r w:rsidRPr="00C641D4">
        <w:rPr>
          <w:rFonts w:ascii="Book Antiqua" w:eastAsia="Times New Roman" w:hAnsi="Book Antiqua" w:cs="Arial CE"/>
          <w:b/>
          <w:bCs/>
          <w:color w:val="000000"/>
          <w:lang w:eastAsia="pl-PL"/>
        </w:rPr>
        <w:t>Adres strony internetowej, na której jest dostępna specyfikacja istotnych warunków zamówienia:</w:t>
      </w:r>
      <w:r w:rsidRPr="00C641D4">
        <w:rPr>
          <w:rFonts w:ascii="Book Antiqua" w:eastAsia="Times New Roman" w:hAnsi="Book Antiqua" w:cs="Arial CE"/>
          <w:color w:val="000000"/>
          <w:lang w:eastAsia="pl-PL"/>
        </w:rPr>
        <w:t> www.biebrza.org.pl</w:t>
      </w:r>
      <w:r w:rsidRPr="00C641D4">
        <w:rPr>
          <w:rFonts w:ascii="Book Antiqua" w:eastAsia="Times New Roman" w:hAnsi="Book Antiqua" w:cs="Arial CE"/>
          <w:color w:val="000000"/>
          <w:lang w:eastAsia="pl-PL"/>
        </w:rPr>
        <w:br/>
      </w:r>
      <w:r w:rsidRPr="00C641D4">
        <w:rPr>
          <w:rFonts w:ascii="Book Antiqua" w:eastAsia="Times New Roman" w:hAnsi="Book Antiqua" w:cs="Arial CE"/>
          <w:b/>
          <w:bCs/>
          <w:color w:val="000000"/>
          <w:lang w:eastAsia="pl-PL"/>
        </w:rPr>
        <w:t>Specyfikację istotnych warunków zamówienia można uzyskać pod adresem:</w:t>
      </w:r>
      <w:r w:rsidRPr="00C641D4">
        <w:rPr>
          <w:rFonts w:ascii="Book Antiqua" w:eastAsia="Times New Roman" w:hAnsi="Book Antiqua" w:cs="Arial CE"/>
          <w:color w:val="000000"/>
          <w:lang w:eastAsia="pl-PL"/>
        </w:rPr>
        <w:t> siedziba Biebrzańskiego Parku Narodowego Osowiec-Twierdza 8 19-110 Goniądz pokój nr 35.</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IV.4.4) Termin składania wniosków o dopuszczenie do udziału w postępowaniu lub ofert:</w:t>
      </w:r>
      <w:r w:rsidRPr="00C641D4">
        <w:rPr>
          <w:rFonts w:ascii="Book Antiqua" w:eastAsia="Times New Roman" w:hAnsi="Book Antiqua" w:cs="Arial CE"/>
          <w:color w:val="000000"/>
          <w:lang w:eastAsia="pl-PL"/>
        </w:rPr>
        <w:t> 22.12.2015 godzina 12:00, miejsce: siedziba Biebrzańskiego Parku Narodowego Osowiec-Twierdza 8 sekretariat pokój nr 14.</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IV.4.5) Termin związania ofertą:</w:t>
      </w:r>
      <w:r w:rsidRPr="00C641D4">
        <w:rPr>
          <w:rFonts w:ascii="Book Antiqua" w:eastAsia="Times New Roman" w:hAnsi="Book Antiqua" w:cs="Arial CE"/>
          <w:color w:val="000000"/>
          <w:lang w:eastAsia="pl-PL"/>
        </w:rPr>
        <w:t> okres w dniach: 30 (od ostatecznego terminu składania ofert).</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IV.4.16) Informacje dodatkowe, w tym dotyczące finansowania projektu/programu ze środków Unii Europejskiej:</w:t>
      </w:r>
      <w:r w:rsidRPr="00C641D4">
        <w:rPr>
          <w:rFonts w:ascii="Book Antiqua" w:eastAsia="Times New Roman" w:hAnsi="Book Antiqua" w:cs="Arial CE"/>
          <w:color w:val="000000"/>
          <w:lang w:eastAsia="pl-PL"/>
        </w:rPr>
        <w:t xml:space="preserve"> Zamówienie udzielane w ramach realizacji zadania C.6 w projekcie LIFE13 NAT/PL/000050 </w:t>
      </w:r>
      <w:proofErr w:type="spellStart"/>
      <w:r w:rsidRPr="00C641D4">
        <w:rPr>
          <w:rFonts w:ascii="Book Antiqua" w:eastAsia="Times New Roman" w:hAnsi="Book Antiqua" w:cs="Arial CE"/>
          <w:color w:val="000000"/>
          <w:lang w:eastAsia="pl-PL"/>
        </w:rPr>
        <w:t>Renaturyzacja</w:t>
      </w:r>
      <w:proofErr w:type="spellEnd"/>
      <w:r w:rsidRPr="00C641D4">
        <w:rPr>
          <w:rFonts w:ascii="Book Antiqua" w:eastAsia="Times New Roman" w:hAnsi="Book Antiqua" w:cs="Arial CE"/>
          <w:color w:val="000000"/>
          <w:lang w:eastAsia="pl-PL"/>
        </w:rPr>
        <w:t xml:space="preserve"> sieci hydrograficznej w Basenie Środkowym doliny Biebrzy. Etap II, współfinansowanego przez instrument finansowy LIFE+ Komisji Europejskiej, Narodowy Fundusz Ochrony Środowiska i Gospodarki Wodnej oraz beneficjenta projektu - Biebrzański Park Narodowy..</w:t>
      </w:r>
    </w:p>
    <w:p w:rsidR="002443A4" w:rsidRPr="00C641D4" w:rsidRDefault="002443A4" w:rsidP="00C641D4">
      <w:pPr>
        <w:spacing w:after="0" w:line="400" w:lineRule="atLeast"/>
        <w:ind w:left="225"/>
        <w:jc w:val="both"/>
        <w:rPr>
          <w:rFonts w:ascii="Book Antiqua" w:eastAsia="Times New Roman" w:hAnsi="Book Antiqua" w:cs="Arial CE"/>
          <w:color w:val="000000"/>
          <w:lang w:eastAsia="pl-PL"/>
        </w:rPr>
      </w:pPr>
      <w:r w:rsidRPr="00C641D4">
        <w:rPr>
          <w:rFonts w:ascii="Book Antiqua" w:eastAsia="Times New Roman" w:hAnsi="Book Antiqua"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641D4">
        <w:rPr>
          <w:rFonts w:ascii="Book Antiqua" w:eastAsia="Times New Roman" w:hAnsi="Book Antiqua" w:cs="Arial CE"/>
          <w:color w:val="000000"/>
          <w:lang w:eastAsia="pl-PL"/>
        </w:rPr>
        <w:t>nie</w:t>
      </w:r>
    </w:p>
    <w:p w:rsidR="002443A4" w:rsidRPr="00C641D4" w:rsidRDefault="002443A4" w:rsidP="00C641D4">
      <w:pPr>
        <w:spacing w:after="0" w:line="240" w:lineRule="auto"/>
        <w:jc w:val="both"/>
        <w:rPr>
          <w:rFonts w:ascii="Book Antiqua" w:eastAsia="Times New Roman" w:hAnsi="Book Antiqua" w:cs="Times New Roman"/>
          <w:lang w:eastAsia="pl-PL"/>
        </w:rPr>
      </w:pPr>
    </w:p>
    <w:p w:rsidR="00EA0FFF" w:rsidRDefault="00C641D4" w:rsidP="00C641D4">
      <w:pPr>
        <w:jc w:val="right"/>
        <w:rPr>
          <w:rFonts w:ascii="Book Antiqua" w:hAnsi="Book Antiqua"/>
        </w:rPr>
      </w:pPr>
      <w:r>
        <w:rPr>
          <w:rFonts w:ascii="Book Antiqua" w:hAnsi="Book Antiqua"/>
        </w:rPr>
        <w:t>Zatwierdził:</w:t>
      </w:r>
    </w:p>
    <w:p w:rsidR="00C641D4" w:rsidRDefault="00C641D4" w:rsidP="00C641D4">
      <w:pPr>
        <w:jc w:val="right"/>
        <w:rPr>
          <w:rFonts w:ascii="Book Antiqua" w:hAnsi="Book Antiqua"/>
        </w:rPr>
      </w:pPr>
      <w:r>
        <w:rPr>
          <w:rFonts w:ascii="Book Antiqua" w:hAnsi="Book Antiqua"/>
        </w:rPr>
        <w:t>Z-ca Dyrektora</w:t>
      </w:r>
    </w:p>
    <w:p w:rsidR="00C641D4" w:rsidRDefault="00C641D4" w:rsidP="00C641D4">
      <w:pPr>
        <w:jc w:val="right"/>
        <w:rPr>
          <w:rFonts w:ascii="Book Antiqua" w:hAnsi="Book Antiqua"/>
        </w:rPr>
      </w:pPr>
      <w:r>
        <w:rPr>
          <w:rFonts w:ascii="Book Antiqua" w:hAnsi="Book Antiqua"/>
        </w:rPr>
        <w:t xml:space="preserve"> Biebrzańskiego Parku Narodowego</w:t>
      </w:r>
    </w:p>
    <w:p w:rsidR="00C641D4" w:rsidRPr="00C641D4" w:rsidRDefault="00C641D4" w:rsidP="00C641D4">
      <w:pPr>
        <w:jc w:val="right"/>
        <w:rPr>
          <w:rFonts w:ascii="Book Antiqua" w:hAnsi="Book Antiqua"/>
        </w:rPr>
      </w:pPr>
      <w:r>
        <w:rPr>
          <w:rFonts w:ascii="Book Antiqua" w:hAnsi="Book Antiqua"/>
        </w:rPr>
        <w:t>Małgorzata Górska</w:t>
      </w:r>
      <w:bookmarkStart w:id="0" w:name="_GoBack"/>
      <w:bookmarkEnd w:id="0"/>
    </w:p>
    <w:sectPr w:rsidR="00C641D4" w:rsidRPr="00C64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C29"/>
    <w:multiLevelType w:val="multilevel"/>
    <w:tmpl w:val="F4D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F1488"/>
    <w:multiLevelType w:val="multilevel"/>
    <w:tmpl w:val="93AA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9478C"/>
    <w:multiLevelType w:val="multilevel"/>
    <w:tmpl w:val="083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037CBA"/>
    <w:multiLevelType w:val="multilevel"/>
    <w:tmpl w:val="A19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090657"/>
    <w:multiLevelType w:val="multilevel"/>
    <w:tmpl w:val="C5D2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C705C9"/>
    <w:multiLevelType w:val="multilevel"/>
    <w:tmpl w:val="35D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44AE6"/>
    <w:multiLevelType w:val="multilevel"/>
    <w:tmpl w:val="215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A4"/>
    <w:rsid w:val="002443A4"/>
    <w:rsid w:val="00C641D4"/>
    <w:rsid w:val="00EA0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2726</Words>
  <Characters>16360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Chudek</dc:creator>
  <cp:lastModifiedBy>Adam</cp:lastModifiedBy>
  <cp:revision>3</cp:revision>
  <cp:lastPrinted>2015-12-12T05:03:00Z</cp:lastPrinted>
  <dcterms:created xsi:type="dcterms:W3CDTF">2015-12-11T14:17:00Z</dcterms:created>
  <dcterms:modified xsi:type="dcterms:W3CDTF">2015-12-12T05:03:00Z</dcterms:modified>
</cp:coreProperties>
</file>